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left"/>
        <w:textAlignment w:val="auto"/>
        <w:outlineLvl w:val="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附件2：</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方正小标宋简体" w:hAnsi="方正小标宋简体" w:eastAsia="方正小标宋简体" w:cs="方正小标宋简体"/>
          <w:b w:val="0"/>
          <w:bCs/>
          <w:kern w:val="0"/>
          <w:sz w:val="32"/>
          <w:szCs w:val="32"/>
        </w:rPr>
      </w:pPr>
      <w:r>
        <w:rPr>
          <w:rFonts w:hint="eastAsia" w:ascii="方正小标宋简体" w:hAnsi="方正小标宋简体" w:eastAsia="方正小标宋简体" w:cs="方正小标宋简体"/>
          <w:b w:val="0"/>
          <w:bCs/>
          <w:kern w:val="0"/>
          <w:sz w:val="32"/>
          <w:szCs w:val="32"/>
        </w:rPr>
        <w:t>自治区财政项目支出绩效自评报告</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1"/>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Style w:val="17"/>
          <w:rFonts w:hint="eastAsia" w:ascii="仿宋_GB2312" w:hAnsi="仿宋_GB2312" w:eastAsia="仿宋_GB2312" w:cs="仿宋_GB2312"/>
          <w:spacing w:val="-4"/>
          <w:sz w:val="32"/>
          <w:szCs w:val="32"/>
        </w:rPr>
        <w:t>2023</w:t>
      </w:r>
      <w:r>
        <w:rPr>
          <w:rFonts w:hint="eastAsia" w:ascii="仿宋_GB2312" w:hAnsi="仿宋_GB2312" w:eastAsia="仿宋_GB2312" w:cs="仿宋_GB2312"/>
          <w:kern w:val="0"/>
          <w:sz w:val="32"/>
          <w:szCs w:val="32"/>
        </w:rPr>
        <w:t xml:space="preserve">  年度）</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outlineLvl w:val="0"/>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_GB2312" w:hAnsi="仿宋_GB2312" w:eastAsia="仿宋_GB2312" w:cs="仿宋_GB2312"/>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jc w:val="left"/>
        <w:textAlignment w:val="auto"/>
        <w:rPr>
          <w:rFonts w:hint="eastAsia" w:ascii="仿宋_GB2312" w:hAnsi="仿宋_GB2312" w:eastAsia="仿宋_GB2312" w:cs="仿宋_GB2312"/>
          <w:b w:val="0"/>
          <w:bCs w:val="0"/>
          <w:kern w:val="0"/>
          <w:sz w:val="32"/>
          <w:szCs w:val="32"/>
        </w:rPr>
      </w:pPr>
      <w:r>
        <w:rPr>
          <w:rFonts w:hint="eastAsia" w:ascii="仿宋_GB2312" w:hAnsi="仿宋_GB2312" w:eastAsia="仿宋_GB2312" w:cs="仿宋_GB2312"/>
          <w:b w:val="0"/>
          <w:bCs w:val="0"/>
          <w:kern w:val="0"/>
          <w:sz w:val="32"/>
          <w:szCs w:val="32"/>
        </w:rPr>
        <w:t>项目名称：</w:t>
      </w:r>
      <w:r>
        <w:rPr>
          <w:rStyle w:val="17"/>
          <w:rFonts w:hint="eastAsia" w:ascii="仿宋_GB2312" w:hAnsi="仿宋_GB2312" w:eastAsia="仿宋_GB2312" w:cs="仿宋_GB2312"/>
          <w:b w:val="0"/>
          <w:bCs w:val="0"/>
          <w:spacing w:val="-4"/>
          <w:sz w:val="32"/>
          <w:szCs w:val="32"/>
        </w:rPr>
        <w:t>沙湾市第二幼儿园学前教育市配保育保教费及伙食费资金</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 xml:space="preserve">  实施单位（公章）：</w:t>
      </w:r>
      <w:r>
        <w:rPr>
          <w:rStyle w:val="17"/>
          <w:rFonts w:hint="eastAsia" w:ascii="仿宋_GB2312" w:hAnsi="仿宋_GB2312" w:eastAsia="仿宋_GB2312" w:cs="仿宋_GB2312"/>
          <w:b w:val="0"/>
          <w:bCs w:val="0"/>
          <w:spacing w:val="-4"/>
          <w:sz w:val="32"/>
          <w:szCs w:val="32"/>
        </w:rPr>
        <w:t>沙湾</w:t>
      </w:r>
      <w:bookmarkStart w:id="0" w:name="_GoBack"/>
      <w:bookmarkEnd w:id="0"/>
      <w:r>
        <w:rPr>
          <w:rStyle w:val="17"/>
          <w:rFonts w:hint="eastAsia" w:ascii="仿宋_GB2312" w:hAnsi="仿宋_GB2312" w:eastAsia="仿宋_GB2312" w:cs="仿宋_GB2312"/>
          <w:b w:val="0"/>
          <w:bCs w:val="0"/>
          <w:spacing w:val="-4"/>
          <w:sz w:val="32"/>
          <w:szCs w:val="32"/>
        </w:rPr>
        <w:t>市第二幼儿园</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主管部门（公章）：</w:t>
      </w:r>
      <w:r>
        <w:rPr>
          <w:rStyle w:val="17"/>
          <w:rFonts w:hint="eastAsia" w:ascii="仿宋_GB2312" w:hAnsi="仿宋_GB2312" w:eastAsia="仿宋_GB2312" w:cs="仿宋_GB2312"/>
          <w:b w:val="0"/>
          <w:bCs w:val="0"/>
          <w:spacing w:val="-4"/>
          <w:sz w:val="32"/>
          <w:szCs w:val="32"/>
        </w:rPr>
        <w:t>沙湾市第二幼儿园</w:t>
      </w:r>
    </w:p>
    <w:p>
      <w:pPr>
        <w:keepNext w:val="0"/>
        <w:keepLines w:val="0"/>
        <w:pageBreakBefore w:val="0"/>
        <w:widowControl w:val="0"/>
        <w:kinsoku/>
        <w:wordWrap/>
        <w:overflowPunct/>
        <w:topLinePunct w:val="0"/>
        <w:autoSpaceDE/>
        <w:autoSpaceDN/>
        <w:bidi w:val="0"/>
        <w:adjustRightInd/>
        <w:snapToGrid/>
        <w:spacing w:line="520" w:lineRule="exact"/>
        <w:ind w:firstLine="800" w:firstLineChars="25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项目负责人（签章）：</w:t>
      </w:r>
      <w:r>
        <w:rPr>
          <w:rStyle w:val="17"/>
          <w:rFonts w:hint="eastAsia" w:ascii="仿宋_GB2312" w:hAnsi="仿宋_GB2312" w:eastAsia="仿宋_GB2312" w:cs="仿宋_GB2312"/>
          <w:b w:val="0"/>
          <w:bCs w:val="0"/>
          <w:spacing w:val="-4"/>
          <w:sz w:val="32"/>
          <w:szCs w:val="32"/>
        </w:rPr>
        <w:t>郭晓帆</w:t>
      </w:r>
    </w:p>
    <w:p>
      <w:pPr>
        <w:keepNext w:val="0"/>
        <w:keepLines w:val="0"/>
        <w:pageBreakBefore w:val="0"/>
        <w:widowControl w:val="0"/>
        <w:kinsoku/>
        <w:wordWrap/>
        <w:overflowPunct/>
        <w:topLinePunct w:val="0"/>
        <w:autoSpaceDE/>
        <w:autoSpaceDN/>
        <w:bidi w:val="0"/>
        <w:adjustRightInd/>
        <w:snapToGrid/>
        <w:spacing w:line="520" w:lineRule="exact"/>
        <w:ind w:left="273" w:firstLine="567"/>
        <w:textAlignment w:val="auto"/>
        <w:rPr>
          <w:rStyle w:val="17"/>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kern w:val="0"/>
          <w:sz w:val="32"/>
          <w:szCs w:val="32"/>
        </w:rPr>
        <w:t>填报时间：</w:t>
      </w:r>
      <w:r>
        <w:rPr>
          <w:rStyle w:val="17"/>
          <w:rFonts w:hint="eastAsia" w:ascii="仿宋_GB2312" w:hAnsi="仿宋_GB2312" w:eastAsia="仿宋_GB2312" w:cs="仿宋_GB2312"/>
          <w:b w:val="0"/>
          <w:bCs w:val="0"/>
          <w:spacing w:val="-4"/>
          <w:sz w:val="32"/>
          <w:szCs w:val="32"/>
        </w:rPr>
        <w:t>2024年04月28日</w:t>
      </w:r>
    </w:p>
    <w:p>
      <w:pPr>
        <w:keepNext w:val="0"/>
        <w:keepLines w:val="0"/>
        <w:pageBreakBefore w:val="0"/>
        <w:widowControl w:val="0"/>
        <w:kinsoku/>
        <w:wordWrap/>
        <w:overflowPunct/>
        <w:topLinePunct w:val="0"/>
        <w:autoSpaceDE/>
        <w:autoSpaceDN/>
        <w:bidi w:val="0"/>
        <w:adjustRightInd/>
        <w:snapToGrid/>
        <w:spacing w:line="520" w:lineRule="exact"/>
        <w:ind w:firstLine="755" w:firstLineChars="236"/>
        <w:jc w:val="left"/>
        <w:textAlignment w:val="auto"/>
        <w:rPr>
          <w:rFonts w:hint="eastAsia" w:ascii="仿宋_GB2312" w:hAnsi="仿宋_GB2312" w:eastAsia="仿宋_GB2312" w:cs="仿宋_GB2312"/>
          <w:b w:val="0"/>
          <w:bCs w:val="0"/>
          <w:kern w:val="0"/>
          <w:sz w:val="32"/>
          <w:szCs w:val="32"/>
        </w:rPr>
      </w:pPr>
    </w:p>
    <w:p>
      <w:pPr>
        <w:keepNext w:val="0"/>
        <w:keepLines w:val="0"/>
        <w:pageBreakBefore w:val="0"/>
        <w:widowControl w:val="0"/>
        <w:kinsoku/>
        <w:wordWrap/>
        <w:overflowPunct/>
        <w:topLinePunct w:val="0"/>
        <w:autoSpaceDE/>
        <w:autoSpaceDN/>
        <w:bidi w:val="0"/>
        <w:adjustRightInd/>
        <w:snapToGrid/>
        <w:spacing w:line="520" w:lineRule="exact"/>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outlineLvl w:val="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一、项目概况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outlineLvl w:val="1"/>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1.项目背景</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沙湾市第二幼儿园学前教育市配保育保教费及伙食费资金项目，绩效目标情况用于幼儿园幼儿经费保障，幼儿园办公费、维修费、设</w:t>
      </w:r>
      <w:r>
        <w:rPr>
          <w:rStyle w:val="17"/>
          <w:rFonts w:hint="eastAsia" w:ascii="仿宋_GB2312" w:hAnsi="仿宋_GB2312" w:eastAsia="仿宋_GB2312" w:cs="仿宋_GB2312"/>
          <w:b w:val="0"/>
          <w:bCs w:val="0"/>
          <w:spacing w:val="-4"/>
          <w:sz w:val="32"/>
          <w:szCs w:val="32"/>
          <w:lang w:val="en-US" w:eastAsia="zh-CN"/>
        </w:rPr>
        <w:t>备</w:t>
      </w:r>
      <w:r>
        <w:rPr>
          <w:rStyle w:val="17"/>
          <w:rFonts w:hint="eastAsia" w:ascii="仿宋_GB2312" w:hAnsi="仿宋_GB2312" w:eastAsia="仿宋_GB2312" w:cs="仿宋_GB2312"/>
          <w:b w:val="0"/>
          <w:bCs w:val="0"/>
          <w:spacing w:val="-4"/>
          <w:sz w:val="32"/>
          <w:szCs w:val="32"/>
        </w:rPr>
        <w:t>采购费、伙食费等经费开支，保障不让一个孩子因为家庭困难而失学，努力构建广覆盖、保基础、有质量的学前教育公共服务体系，促进学前教育发展水平整体提升。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2.项目主要内容及实施情况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本项目主要内容为：沙湾市第二幼儿园学前教育市配保育保教费及伙食费资金项目。</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沙湾市第二幼儿园学前教育市配保育保教费及伙食费资金。根据《2023年学前三年教育、义务教育、普通高中、中职教育保障经费配套资金的通知》（沙财教[2023]07号）文件，沙湾市第二幼儿园学前教育市配保育保教费及伙食费资金预算安排资金总额87.15万元。</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项目于2023年1月开始实施，截止2023年12月，该项目已实施完成各项任务指标全部完成，通过本项目的实施，有效解决了沙湾市第二幼儿园的办公费、维修费、伙食费、设备采购费用，提升了幼儿园的保教质量及伙食质量，增强了教职工的积极性。</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3.项目实施主体</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2023年沙湾市第二幼儿园学前教育市配保育保教费及伙食费资金项目的实施主体为沙湾市第二幼儿园。</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 资金投入和使用情况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（1）项目资金安排落实、总投入情况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沙湾市财政局《2023年学前三年教育、义务教育、普通高中、中职教育保障经费配套资金的通知》（沙财教[2023]07号）文件，沙湾市第二幼儿园学前教育市配保育保教费及伙食费资金项目预算安排资金总额87.15万元，其中财政资金87.15万元、其他资金0万元；2023年实际收到预算资金87.15万元，预算资金到位率为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（2）项目资金实际使用情况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截至2023年12月31日，本项目实际支付资金87.15万元，预算执行率100%。项目资金主要用于支付办公用品费用14.19万元、设施设备维修费用5.5万元、设备采购费用3.51万元、幼儿伙食费用55.4万元、水费用1.5万元。</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（二）项目预算绩效目标设定情况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1.总体目标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提炼概括项目预期达到的产出和效果，必须为一段话，不可单纯的罗列三级指标内容。</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以准确、清晰地反映财政资金在使用期所能达到的预期产出和效果。</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沙湾市第二幼儿园学前教育市配保育保教费及伙食费资金项目，是为了全年项目计划实现目标如下：“目标1：“学前保障人数347人，保障不让一名幼儿辍学。目标2:项目资金使用规范率100%；目标3:资金支付及时率100%；目标4:项目完成时间为2023年12月25日前。”计划通过本项目的实施，保障幼儿园正常运转，改善幼儿园教学环境，保障幼儿园伙食的提高。</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2.阶段性目标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中华人民共和国预算法》、《中共中央国务院关于全面实施预算绩效管理的意见》（中发〔2018〕34号）、《关于印发&lt;项目支出绩效评价管理办法&gt;的通知》（财预〔2020〕10号）、《塔城地区财政支出绩效评价管理暂行办法》（塔地财预〔2018〕114号）等文件要求，结合本项目实际，对绩效目标进行逐层分解、细化后的具体绩效指标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（1）项目产出指标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①数量指标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“幼儿园购买办公用品数量（批）”指标，预期指标值为“大于等于1批”；</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“幼儿园设施设备维修次数（次）”指标，预期指标值为“大于等于12次”；</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“幼儿园年用水量（立方米/年）”指标，预期指标值为“等于736立方米/年”；</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“幼儿园购买办公用品件数（件）”指标，预期指标值为“大于等于12件”；</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“幼儿园伙食补助人数（人）”指标，预期指标值为“大于等于347人”。</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②质量指标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“资金使用规范率（%）”指标，预期指标值为“等于100%”；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“项目验收合格率（%）”指标，预期指标值为“等于100%”。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③时效指标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“项目完成时间（年月日）”指标，预期指标值为“2023年12月20日”；</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（2）项目成本指标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①经济成本指标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“购买办公用品金额（万元）”指标，预期指标值为“小于等于14.17万元”；</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“幼儿园伙食费（万元）”指标，预期指标值为“小于等于55.4万元”。</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“幼儿园维修费（万元）”指标，预期指标值为“小于等于5.5万元”；</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“幼儿园水费（万元）”指标，预期指标值为“小于等于1.5万元”。</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（3）项目效益指标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①经济效益指标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无此项指标。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②社会效益指标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“提高幼儿园办园条件”指标，预期指标值为“有效提高”。③生态效益指标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无此项指标。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（4）相关满意度目标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“家长满意度（%）”指标，预期指标值为“小于等于95%”；</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“家师满意度（%）”指标，预期指标值为“小于等于95%”。</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outlineLvl w:val="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二、项目资金使用及管理情况</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（一）项目资金安排落实、总投入等情况分析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1.绩效评价的目的</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2.绩效评价的对象和范围</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次绩效评价遵循财政部《关于印发&lt;项目支出绩效评价管理办法&gt;的通知》（财预〔2020〕10号）以及自治区财政厅《自治区财政支出绩效评价管理暂行办法》（新财预〔2018〕189号）等文件规定，对2023年度我单位实施的沙湾市第二幼儿园学前教育市配保育保教费及伙食费资金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（二）项目资金实际使用情况分析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1.绩效评价原则</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沙湾市第二幼儿园学前教育市配保育保教费及伙食费资金项目实际开展情况，运用定量和定性分析相结合的方法，总结经验做法，反思项目实施和管理中的问题，以切实提升财政资金管理的科学化、规范化和精细化水平。</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根据以上原则，绩效评价遵循如下具体要求：</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（1）在数据采集时，采取客观数据主管部门审查、社会中介组织复查与问卷调查相结合的形式，以保证各项指标的真实性。</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（2）保证评价结果的真实性、公正性，提高评价报告的公信力。</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（3）绩效评价报告简明扼要，除对绩效评价的过程、结果描述外，还总结经验、指出问题，并就共性问题提出可操作性改进建议。</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2.绩效评价指标体系及绩效评价标准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一级指标为：决策、过程、产出、成本、效益。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二级指标为：项目立项、绩效目标、资金投入、资金管理、组织实施、产出数量、产出质量、产出时效、经济成本、社会成本、项目效益。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社会效益、生态效益、可持续影响、服务对象满意度。</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3.评价方法</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本次评价采取定量与定性评价相结合的方式，采用比较法、公众评判法对项目实施过程以及预期绩效目标完成情况进行全面、系统的评价，总分由各项指标得分汇总形成。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4.评价标准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第一阶段：前期准备。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我单位绩效评价人员根据《项目支出绩效评价管理办法》（财预〔2020〕10号）文件精神认真学习相关要求与规定，成立绩效评价工作组，作为绩效评价工作具体实施机构。成员构成如下：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郭晓帆（书记兼园长）任评价组组长，绩效评价工作职责为检查项目绩效指标完成情况、审定项目支出绩效评价结果及项目支出绩效评价报告。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赵莉（财务负责人）任评价组副组长，绩效评价工作职责为组织和协调项目工作人员采取实地调查、资料检查等方式，核实项目绩效指标完成情况；组织受益对象对项目工作进行评价等。</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蒋晓玲（报账员）任评价组成员，绩效评价工作职责为做好项目支出绩效评价工作的沟通协调工作，对项目实施情况进行实地调查，编写项目支出绩效评价报告。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第二阶段：组织实施。</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经评价组通过实地调研、查阅资料等方式，采用综合分析法对项目的决策、管理、绩效进行的综合评价分析。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第三阶段：分析评价。</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首先按照指标体系进行定量、定性分析。其次开展量化打分、综合评价工作，形成初步评价结论。最后归纳整体项目情况与存在问题，撰写部门绩效评价报告。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第四阶段：撰写与提交评价报告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项目撰写绩效评价报告，按照财政局大平台绩效系统中统一格式和文本框架撰写绩效评价报告。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第五阶段：归集档案</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建立和落实档案管理制度，将项目相关资料存档，包括但不限于：评价项目基本情况和相关文件、评价实施方案、项目支付资料等相关档案。</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outlineLvl w:val="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三、项目组织实施情况</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（一）综合评价情况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通过沙湾市第二幼儿园学前教育市配保育保教费及伙食费资金项目的实施，解决了幼儿园的实际问题，办公用品的采购、幼儿园设备的维修、水费、幼儿伙食费的问题，实现了幼儿园正常运转，改善了幼儿园教学环境，提高了幼儿伙食质量，让孩子们每天都能安全、健康、愉快活动的效益。</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该项目预算执行率达100%，项目预期绩效目标及各项具体指标均已全部达成。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（二）综合评价结论</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次评价采取定量与定性评价相结合的方式，对沙湾市第二幼儿园学前教育市配保育保教费及伙食费资金项目的绩效目标和各项具体绩效指标实现情况进行了客观评价，最终评分为100分。绩效评级为“优”，具体得分情况为：项目决策15分、项目过程15分、项目产出40分、项目效益20分、项目满意度10分。</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项目决策类指标从项目立项、绩效目标和资金投入三个方面评价项目前期准备工作，权重分值为 15 分，本项目实际得分15分，得分率为100%。具体各项指标得分如下：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立项依据充分性：本项目是由沙湾市第二幼儿园单位提出申报，于2023年01月批复设立，2023年我单位根据《2023年学前三年教育、义务教育、普通高中、中职教育保障经费配套资金的通知》（沙财教[2023]07号）文件要求组织实施该项目。项目立项符合国家法律法规、自治区和地区行业发展规划和政策要求，属于本部门履职所需。根据评分标准，该指标2.5分，得2.5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2.立项程序规范性：根据决策依据编制工作计划和经费预算，经过与部门市政府分管领导进行沟通、筛选确定经费预算计划，上党委会研究确定最终预算方案。根据评分标准，该指标2.5分，得2.5分。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3.绩效目标合理性：本项目制定了项目支出绩效目标，明确了项目总体思路及总目标、并对项目任务进行了详细分解，对目标进行了细化。根据评分标准，该指标3分，得3分。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4.绩效指标明确性：本项目已将项目绩效目标细化分解为具体的绩效指标，并通过清晰、可衡量的指标值予以体现，与项目目标任务数或计划数相对应。根据评分标准，该指标2分，得2分。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5.预算编制科学性： 预算编制经过科学论证，内容与项目内容匹配，项目投资额与工作任务相匹配，根据评分标准，该指标3分，得3分。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6.资金分配合理性：本项目资金分配依据充分，资金分配额度合理，与项目地方实际相适应。根据评分标准，该指标2分，得2分。</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outlineLvl w:val="0"/>
        <w:rPr>
          <w:rStyle w:val="17"/>
          <w:rFonts w:hint="eastAsia" w:ascii="仿宋_GB2312" w:hAnsi="仿宋_GB2312" w:eastAsia="仿宋_GB2312" w:cs="仿宋_GB2312"/>
          <w:b w:val="0"/>
          <w:bCs w:val="0"/>
          <w:sz w:val="32"/>
          <w:szCs w:val="32"/>
        </w:rPr>
      </w:pPr>
      <w:r>
        <w:rPr>
          <w:rStyle w:val="17"/>
          <w:rFonts w:hint="eastAsia" w:ascii="仿宋_GB2312" w:hAnsi="仿宋_GB2312" w:eastAsia="仿宋_GB2312" w:cs="仿宋_GB2312"/>
          <w:b w:val="0"/>
          <w:bCs w:val="0"/>
          <w:spacing w:val="-4"/>
          <w:sz w:val="32"/>
          <w:szCs w:val="32"/>
        </w:rPr>
        <w:t>四、项目绩效情况</w:t>
      </w:r>
      <w:r>
        <w:rPr>
          <w:rStyle w:val="17"/>
          <w:rFonts w:hint="eastAsia" w:ascii="仿宋_GB2312" w:hAnsi="仿宋_GB2312" w:eastAsia="仿宋_GB2312" w:cs="仿宋_GB2312"/>
          <w:b w:val="0"/>
          <w:bCs w:val="0"/>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（一）项目绩效目标完成情况分析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项目过程类指标包括资金管理和组织实施两方面的内容，由 5个三级指标构成，权重分值为 15 分，本项目实际得分15分，得分率为100%。具体各项指标得分如下：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 xml:space="preserve">1.资金到位率：该项目所需财政资金能够足额拨付到位，牵头单位能够及时足额按照合同约定将专项资金拨付给单位，根据评分标准，该指标2分，得2分。   </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2.预算执行率：本项目预算编制较为详细，预算资金87.45万元，实际执行87.45万元，预算执行率为100%，项目资金支出总体能够按照预算执行，根据评分标准，该指标2分，得2分。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资金使用合规性：项目任务下达后，我单位制定了《财务监管制度》制度和管理规定对经费使用进行规范管理，财务制度健全、执行严格；同时，资金的拨付有完整的审批程序和手续，符合项目预算批复或合同规定的用途，不存在截留、挤占、挪用、虚列支出等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根据评分标准，该指标3分，得3分。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4.管理制度健全性：我单位制定了《财务监管制度》等相关项目管理办法，同时对财政专项资金进行严格管理，基本做到了专款专用，根据评分标准，该指标4分，得4分。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5.制度执行有效性：根据现场调研和资料抽查情况，严格遵守相关法律法规和相关管理规定，项目调整及支出调整手续完备，整体管理合理有序，项目完成后，及时将会计凭证、固定资产入库单等相关资料分类归档，制度执行有效该指标4分，得4分。</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（二）项目绩效目标未完成原因分析</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项目产出类指标包括产出数量、产出质量、产出时效、产出成本共四方面的内容，由8个三级指标构成，权重分为40分，本项目实际得分40分，得分率为100%。具体各项指标得分如下：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 产出数量</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“幼儿园购买办公用品数量（批）”指标，预期指标值为“大于等于1批”，根据幼儿园出入库台账可知，实际完成“1批”，与预期目标一致，根据评分标准，该指标2分，得2分。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“幼儿园设施设备维修次数”指标，预期指标值为“大于等于12次”，根据幼儿园维修台账可知，实际完成“12次”，与预期目标一致，根据评分标准，该指标2分，得2分。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“幼儿园年用水量（立方米/年）”指标，预期指标值为“大于等于736立方米/年”，根据幼儿园幼儿花名册可知，实际完成“736立方米/年”，与预期目标一致，根据评分标准，该指标2分，得2分。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“幼儿园购买办公用品件数（件）”指标，预期指标值为“大于等于12件”，根据幼儿园设备采购支付凭证可知，实际完成“12件”，与预期目标一致，根据评分标准，该指标2分，得2分。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“幼儿园伙食补助人数（人）”指标，预期指标值为“大于等于347人”，根据幼儿园设备采购支付凭证可知，实际完成“347”人，与预期目标一致，根据评分标准，该指标2分，得2分。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2.产出质量</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资金使用规范率”指标，预期指标值为“等于100%”，“资金使用规范率”指标，预期指标值为“100%”，根据现场核查，幼儿园监管制度，幼儿园办公用品采购、设备采购、维修等，有效利用率达100%，与预期目标一致，根据评分标准，该指标5分，得5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“项目验收合格率（%）”指标，预期指标值为“等于100%”，根据幼儿园监管制度，资金使用规范率达100%，与预期目标一致，根据评分标准，该指标5分，得5分。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3.产出时效</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“项目完成时间（年月日）”指标，预期指标值为“2023年12月20日前”；根据资金支付凭证显示，该项目于2023年12月20日前全部支付完毕，与预期目标指标一致，根据评分标准，该指标10分，得10分。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4.产出成本</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经济成本“购买办公用品金额（万元）”指标，预期指标值为“小于等于14.19万元”，根据资金支付凭证显示，本项目2023年共计支付办公用品款14.19万元，经费支出能够控制在年度计划成本范围内，根据评分标准，该指标2.5分，得2.5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经济成本“幼儿园伙食费（万元）”指标，预期指标值为“小于等于55.4万元”，根据资金支付凭证显示，本项目2023年共计支付幼儿伙食款55.4万元，经费支出能够控制在年度计划成本范围内，根据评分标准，该指标2.5分，得2.5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经济成本“幼儿园维修费（万元）”指标，预期指标值为“小于等于5.5万元”，根据资金支付凭证显示，本项目2023年共计支付维修款5.5万元，经费支出能够控制在年度计划成本范围内，根据评分标准，该指标2.5分，得2.5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经济成本“幼儿园水费（万元）”指标，预期指标值为“小于等于1.5万元”，根据资金支付凭证显示，本项目2023年共计支付水费款1.5万元，经费支出能够控制在年度计划成本范围内，根据评分标准，该指标2.5分，得2.5分。</w:t>
      </w: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outlineLvl w:val="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五、其他需要说明的问题</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项目效益类指标由社会效益1个二级指标和1个三级指标构成，权重分为20分，本项目实际得分20分，得分率为100%。具体各项指标得分如下：</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1.社会效益指标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“提高幼儿园办园条件”指标，预期指标值为“有效提高”，根据本单位监管制度，实际完成值为“基本达成目标”根据评分标准，该指标20分，得20分。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2.经济效益指标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“本项目无该项指标。”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3.生态效益指标</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“本项目无该项指标。”</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rPr>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（二）主要经验及做法、存在问题和建议</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“家长的满意度”指标，预期指标值为“大于等于95%”，根据对幼儿家长进行满意度问卷调查的结果可知，家长满意度达95%，根据评分标准，该指标5分,得5分。</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“教师的满意度”指标，预期指标值为“大于等于95%”，根据对教职工进行满意度问卷调查的结果可知，教师满意度达95%，根据评分标准，该指标5分,得5分。</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outlineLvl w:val="1"/>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（三）其他</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（一）预算执行进度</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沙湾市第二幼儿园学前教育市配保育保教费及伙食费资金项目预算金额87.15万元，实际到位87.15万元，全年项目实际支出87.15万元，预算执行率为100%。</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（二）绩效指标偏差情况</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2023年本单位负责实施的沙湾市第二幼儿园学前教育市配保育保教费及伙食费资金项目的绩效目标及指标已经全部达成，不存在偏差情况。</w:t>
      </w:r>
    </w:p>
    <w:p>
      <w:pPr>
        <w:keepNext w:val="0"/>
        <w:keepLines w:val="0"/>
        <w:pageBreakBefore w:val="0"/>
        <w:widowControl w:val="0"/>
        <w:kinsoku/>
        <w:wordWrap/>
        <w:overflowPunct/>
        <w:topLinePunct w:val="0"/>
        <w:autoSpaceDE/>
        <w:autoSpaceDN/>
        <w:bidi w:val="0"/>
        <w:adjustRightInd/>
        <w:snapToGrid/>
        <w:spacing w:line="520" w:lineRule="exact"/>
        <w:ind w:firstLine="564" w:firstLineChars="181"/>
        <w:textAlignment w:val="auto"/>
        <w:rPr>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textAlignment w:val="auto"/>
        <w:outlineLvl w:val="0"/>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仿宋_GB2312" w:eastAsia="仿宋_GB2312" w:cs="仿宋_GB2312"/>
          <w:b w:val="0"/>
          <w:bCs w:val="0"/>
          <w:spacing w:val="-4"/>
          <w:sz w:val="32"/>
          <w:szCs w:val="32"/>
        </w:rPr>
      </w:pPr>
      <w:r>
        <w:rPr>
          <w:rFonts w:hint="eastAsia" w:ascii="仿宋_GB2312" w:hAnsi="仿宋_GB2312" w:eastAsia="仿宋_GB2312" w:cs="仿宋_GB2312"/>
          <w:b w:val="0"/>
          <w:bCs w:val="0"/>
          <w:spacing w:val="-4"/>
          <w:sz w:val="32"/>
          <w:szCs w:val="32"/>
        </w:rPr>
        <w:t>包括评价基础数据收集、资料来源和依据等佐证材料情况，项目现场勘验检查核实等情况</w:t>
      </w: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r>
        <w:rPr>
          <w:rStyle w:val="17"/>
          <w:rFonts w:hint="eastAsia" w:ascii="仿宋_GB2312" w:hAnsi="仿宋_GB2312" w:eastAsia="仿宋_GB2312" w:cs="仿宋_GB2312"/>
          <w:b w:val="0"/>
          <w:bCs w:val="0"/>
          <w:spacing w:val="-4"/>
          <w:sz w:val="32"/>
          <w:szCs w:val="32"/>
        </w:rPr>
        <w:t>（一）主要经验及做法</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依据国家财经法规和财务管理制度以及有关专项资金管理办法的规定，资金的拨付有完整的审批程序和手续，符合项目预算批复或合同规定的用途，不存在截留、挤占、挪用、虚列支出等情况制定相应的财务和业务管理制度。财务和业务管理制度合法、合规、完整。</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2.本单位成立专门的项目负责领导小组，对该项目的事前、事中、事后进行监督与跟踪，确保该项目按时保质完成，并对该项目资金进行严格检查，使项目资金完全用于本次项目。</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（二）存在问题及原因分析</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1.本单位的项目领导小组，对该项目的事前、事中、事后进行监督与跟踪，但在项目实施过程中仍存在不全面的地方，对项目的部分细节有所疏忽。</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2.对项目档案管理有待进一步规范。项目档案管理专业性较弱。</w:t>
      </w:r>
      <w:r>
        <w:rPr>
          <w:rStyle w:val="17"/>
          <w:rFonts w:hint="eastAsia" w:ascii="仿宋_GB2312" w:hAnsi="仿宋_GB2312" w:eastAsia="仿宋_GB2312" w:cs="仿宋_GB2312"/>
          <w:b w:val="0"/>
          <w:bCs w:val="0"/>
          <w:spacing w:val="-4"/>
          <w:sz w:val="32"/>
          <w:szCs w:val="32"/>
        </w:rPr>
        <w:br w:type="textWrapping"/>
      </w:r>
      <w:r>
        <w:rPr>
          <w:rStyle w:val="17"/>
          <w:rFonts w:hint="eastAsia" w:ascii="仿宋_GB2312" w:hAnsi="仿宋_GB2312" w:eastAsia="仿宋_GB2312" w:cs="仿宋_GB2312"/>
          <w:b w:val="0"/>
          <w:bCs w:val="0"/>
          <w:spacing w:val="-4"/>
          <w:sz w:val="32"/>
          <w:szCs w:val="32"/>
        </w:rPr>
        <w:t>3.本单位的项目领导小组，能够对该项目的事前、事中、事后进行监督与跟踪，但在项目实施过程中仍存在不全面的地方，对项目的部分细节有所疏忽。针对这种情况，进一步增强责任心。</w:t>
      </w:r>
    </w:p>
    <w:p>
      <w:pPr>
        <w:keepNext w:val="0"/>
        <w:keepLines w:val="0"/>
        <w:pageBreakBefore w:val="0"/>
        <w:widowControl w:val="0"/>
        <w:kinsoku/>
        <w:wordWrap/>
        <w:overflowPunct/>
        <w:topLinePunct w:val="0"/>
        <w:autoSpaceDE/>
        <w:autoSpaceDN/>
        <w:bidi w:val="0"/>
        <w:adjustRightInd/>
        <w:snapToGrid/>
        <w:spacing w:line="520" w:lineRule="exact"/>
        <w:ind w:firstLine="624" w:firstLineChars="200"/>
        <w:textAlignment w:val="auto"/>
        <w:rPr>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567"/>
        <w:textAlignment w:val="auto"/>
        <w:rPr>
          <w:rStyle w:val="17"/>
          <w:rFonts w:hint="eastAsia" w:ascii="仿宋_GB2312" w:hAnsi="仿宋_GB2312" w:eastAsia="仿宋_GB2312" w:cs="仿宋_GB2312"/>
          <w:b w:val="0"/>
          <w:bCs w:val="0"/>
          <w:spacing w:val="-4"/>
          <w:sz w:val="32"/>
          <w:szCs w:val="32"/>
        </w:rPr>
      </w:pPr>
    </w:p>
    <w:sectPr>
      <w:footerReference r:id="rId3" w:type="default"/>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ZjZhYjUzNDAyMWFlYjRjMzRjNzEwYTJmMzdlNWQ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646015"/>
    <w:rsid w:val="2E9D359C"/>
    <w:rsid w:val="388B500D"/>
    <w:rsid w:val="39F05758"/>
    <w:rsid w:val="478507E9"/>
    <w:rsid w:val="4D2606A1"/>
    <w:rsid w:val="532A56B8"/>
    <w:rsid w:val="592538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7759</Words>
  <Characters>8153</Characters>
  <Lines>5</Lines>
  <Paragraphs>1</Paragraphs>
  <TotalTime>93</TotalTime>
  <ScaleCrop>false</ScaleCrop>
  <LinksUpToDate>false</LinksUpToDate>
  <CharactersWithSpaces>8178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2024-11-12T18:12:44Z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B7A1FE4CF3354C38BBB7C31261B656DE_12</vt:lpwstr>
  </property>
</Properties>
</file>